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E586B07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DC25B6">
        <w:rPr>
          <w:rFonts w:ascii="Verdana" w:hAnsi="Verdana"/>
          <w:b/>
          <w:bCs/>
          <w:sz w:val="16"/>
          <w:szCs w:val="16"/>
        </w:rPr>
        <w:t>октябре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3ABCF274" w:rsidR="000042C7" w:rsidRPr="00E635AE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DC25B6">
        <w:rPr>
          <w:rFonts w:ascii="Verdana" w:hAnsi="Verdana"/>
          <w:bCs/>
          <w:sz w:val="16"/>
          <w:szCs w:val="16"/>
        </w:rPr>
        <w:t>октябре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2022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DC25B6">
        <w:rPr>
          <w:rFonts w:ascii="Verdana" w:hAnsi="Verdana"/>
          <w:bCs/>
          <w:sz w:val="16"/>
          <w:szCs w:val="16"/>
        </w:rPr>
        <w:t>100,44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E635AE">
        <w:rPr>
          <w:rFonts w:ascii="Verdana" w:hAnsi="Verdana"/>
          <w:bCs/>
          <w:sz w:val="16"/>
          <w:szCs w:val="16"/>
        </w:rPr>
        <w:t>, по сравнению с декабрем 2021 г. – 11</w:t>
      </w:r>
      <w:r w:rsidR="00E635AE" w:rsidRPr="00E635AE">
        <w:rPr>
          <w:rFonts w:ascii="Verdana" w:hAnsi="Verdana"/>
          <w:bCs/>
          <w:sz w:val="16"/>
          <w:szCs w:val="16"/>
        </w:rPr>
        <w:t>0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DC25B6">
        <w:rPr>
          <w:rFonts w:ascii="Verdana" w:hAnsi="Verdana"/>
          <w:bCs/>
          <w:sz w:val="16"/>
          <w:szCs w:val="16"/>
        </w:rPr>
        <w:t>79</w:t>
      </w:r>
      <w:r w:rsidR="000042C7" w:rsidRPr="00E635AE">
        <w:rPr>
          <w:rFonts w:ascii="Verdana" w:hAnsi="Verdana"/>
          <w:bCs/>
          <w:sz w:val="16"/>
          <w:szCs w:val="16"/>
        </w:rPr>
        <w:t xml:space="preserve">% (в </w:t>
      </w:r>
      <w:r w:rsidR="00DC25B6">
        <w:rPr>
          <w:rFonts w:ascii="Verdana" w:hAnsi="Verdana"/>
          <w:bCs/>
          <w:sz w:val="16"/>
          <w:szCs w:val="16"/>
        </w:rPr>
        <w:t>октябре</w:t>
      </w:r>
      <w:r w:rsidR="00490EF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>2021 г. – 10</w:t>
      </w:r>
      <w:r w:rsidR="00DC25B6">
        <w:rPr>
          <w:rFonts w:ascii="Verdana" w:hAnsi="Verdana"/>
          <w:bCs/>
          <w:sz w:val="16"/>
          <w:szCs w:val="16"/>
        </w:rPr>
        <w:t>1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DC25B6">
        <w:rPr>
          <w:rFonts w:ascii="Verdana" w:hAnsi="Verdana"/>
          <w:bCs/>
          <w:sz w:val="16"/>
          <w:szCs w:val="16"/>
        </w:rPr>
        <w:t>21</w:t>
      </w:r>
      <w:r w:rsidR="000042C7" w:rsidRPr="00E635AE">
        <w:rPr>
          <w:rFonts w:ascii="Verdana" w:hAnsi="Verdana"/>
          <w:bCs/>
          <w:sz w:val="16"/>
          <w:szCs w:val="16"/>
        </w:rPr>
        <w:t>%, по сравнению с декабрем 2020 г. – 10</w:t>
      </w:r>
      <w:r w:rsidR="00DC25B6">
        <w:rPr>
          <w:rFonts w:ascii="Verdana" w:hAnsi="Verdana"/>
          <w:bCs/>
          <w:sz w:val="16"/>
          <w:szCs w:val="16"/>
        </w:rPr>
        <w:t>6,56</w:t>
      </w:r>
      <w:r w:rsidR="000042C7" w:rsidRPr="00E635AE">
        <w:rPr>
          <w:rFonts w:ascii="Verdana" w:hAnsi="Verdana"/>
          <w:bCs/>
          <w:sz w:val="16"/>
          <w:szCs w:val="16"/>
        </w:rPr>
        <w:t>%).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753DC1" w:rsidRPr="002A4A81" w14:paraId="08757AD2" w14:textId="77777777" w:rsidTr="00F558F0">
        <w:trPr>
          <w:jc w:val="center"/>
        </w:trPr>
        <w:tc>
          <w:tcPr>
            <w:tcW w:w="3128" w:type="dxa"/>
            <w:vAlign w:val="bottom"/>
          </w:tcPr>
          <w:p w14:paraId="16C882A0" w14:textId="7949DE2B" w:rsidR="00753DC1" w:rsidRPr="00753DC1" w:rsidRDefault="00753DC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547F889" w14:textId="7E5F0D09" w:rsidR="00753DC1" w:rsidRDefault="00E635A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vAlign w:val="center"/>
          </w:tcPr>
          <w:p w14:paraId="55167363" w14:textId="3898A292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vAlign w:val="center"/>
          </w:tcPr>
          <w:p w14:paraId="59559214" w14:textId="2DCA11C1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vAlign w:val="center"/>
          </w:tcPr>
          <w:p w14:paraId="42D1DF6F" w14:textId="61258C0A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AB6029" w:rsidRPr="002A4A81" w14:paraId="433DE3DE" w14:textId="77777777" w:rsidTr="00F558F0">
        <w:trPr>
          <w:jc w:val="center"/>
        </w:trPr>
        <w:tc>
          <w:tcPr>
            <w:tcW w:w="3128" w:type="dxa"/>
            <w:vAlign w:val="bottom"/>
          </w:tcPr>
          <w:p w14:paraId="60E5079E" w14:textId="5BFC1DE9" w:rsidR="00AB6029" w:rsidRDefault="00AB6029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D6234A1" w14:textId="2ADC8008" w:rsidR="00AB6029" w:rsidRDefault="00AB602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B8031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B89E479" w14:textId="7DD725ED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vAlign w:val="center"/>
          </w:tcPr>
          <w:p w14:paraId="040EC396" w14:textId="231A88AC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vAlign w:val="center"/>
          </w:tcPr>
          <w:p w14:paraId="45720BDC" w14:textId="49BF28BA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</w:t>
            </w:r>
            <w:r w:rsidR="00B80312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921AD" w:rsidRPr="002A4A81" w14:paraId="71924D4F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31F588" w14:textId="22BBDC16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2A53B7F" w14:textId="484F60F6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vAlign w:val="center"/>
          </w:tcPr>
          <w:p w14:paraId="77E84FD9" w14:textId="3544DAA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vAlign w:val="center"/>
          </w:tcPr>
          <w:p w14:paraId="264C3A6F" w14:textId="35474BBF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556A7EE0" w14:textId="4BAD2CF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8921AD" w:rsidRPr="002A4A81" w14:paraId="5D3C3636" w14:textId="77777777" w:rsidTr="00F558F0">
        <w:trPr>
          <w:jc w:val="center"/>
        </w:trPr>
        <w:tc>
          <w:tcPr>
            <w:tcW w:w="3128" w:type="dxa"/>
            <w:vAlign w:val="bottom"/>
          </w:tcPr>
          <w:p w14:paraId="2432DECD" w14:textId="1BF6F3DD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E9A2953" w14:textId="31BA85E2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vAlign w:val="center"/>
          </w:tcPr>
          <w:p w14:paraId="0B30409A" w14:textId="684574B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vAlign w:val="center"/>
          </w:tcPr>
          <w:p w14:paraId="552B198D" w14:textId="0A72FD68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1802C9B" w14:textId="65C1E6D1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7F2AF7" w:rsidRPr="00E635AE" w14:paraId="02429F0F" w14:textId="77777777" w:rsidTr="00F558F0">
        <w:trPr>
          <w:jc w:val="center"/>
        </w:trPr>
        <w:tc>
          <w:tcPr>
            <w:tcW w:w="3128" w:type="dxa"/>
            <w:vAlign w:val="bottom"/>
          </w:tcPr>
          <w:p w14:paraId="304D02F6" w14:textId="057E4BFF" w:rsidR="007F2AF7" w:rsidRDefault="007F2AF7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5775A48" w14:textId="7DAE1E55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vAlign w:val="center"/>
          </w:tcPr>
          <w:p w14:paraId="1ECF3780" w14:textId="62D17D19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vAlign w:val="center"/>
          </w:tcPr>
          <w:p w14:paraId="0E90FDF3" w14:textId="2A296FBF" w:rsidR="007F2AF7" w:rsidRPr="00E635AE" w:rsidRDefault="00DC25B6" w:rsidP="00DC25B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6B6AFB96" w14:textId="2F32D9D7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7F2AF7" w:rsidRPr="00E635AE" w14:paraId="26CCA5C0" w14:textId="77777777" w:rsidTr="00270D85">
        <w:trPr>
          <w:jc w:val="center"/>
        </w:trPr>
        <w:tc>
          <w:tcPr>
            <w:tcW w:w="3128" w:type="dxa"/>
            <w:vAlign w:val="bottom"/>
          </w:tcPr>
          <w:p w14:paraId="64AB4378" w14:textId="1AC1E3B9" w:rsidR="007F2AF7" w:rsidRPr="00E635AE" w:rsidRDefault="007F2AF7" w:rsidP="007F2AF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октябрь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9484FA7" w14:textId="1BCEAD0D" w:rsidR="007F2AF7" w:rsidRPr="00E635AE" w:rsidRDefault="00DC25B6" w:rsidP="00270D85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110,79</w:t>
            </w:r>
          </w:p>
        </w:tc>
        <w:tc>
          <w:tcPr>
            <w:tcW w:w="1559" w:type="dxa"/>
            <w:vAlign w:val="center"/>
          </w:tcPr>
          <w:p w14:paraId="06247337" w14:textId="19B91CD3" w:rsidR="007F2AF7" w:rsidRPr="00E635AE" w:rsidRDefault="00DC25B6" w:rsidP="00270D85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109,53</w:t>
            </w:r>
          </w:p>
        </w:tc>
        <w:tc>
          <w:tcPr>
            <w:tcW w:w="1417" w:type="dxa"/>
            <w:vAlign w:val="center"/>
          </w:tcPr>
          <w:p w14:paraId="3F64CBA3" w14:textId="4E54C9EB" w:rsidR="007F2AF7" w:rsidRPr="00E635AE" w:rsidRDefault="00DC25B6" w:rsidP="00270D85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113,16</w:t>
            </w:r>
          </w:p>
        </w:tc>
        <w:tc>
          <w:tcPr>
            <w:tcW w:w="1418" w:type="dxa"/>
            <w:vAlign w:val="center"/>
          </w:tcPr>
          <w:p w14:paraId="18E51112" w14:textId="25D31E01" w:rsidR="007F2AF7" w:rsidRPr="00E635AE" w:rsidRDefault="00DC25B6" w:rsidP="00270D85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109,26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181EDC40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1A0BFE"/>
    <w:rsid w:val="001F0123"/>
    <w:rsid w:val="002A4A81"/>
    <w:rsid w:val="0031225C"/>
    <w:rsid w:val="00315D53"/>
    <w:rsid w:val="003539D0"/>
    <w:rsid w:val="003D3EF0"/>
    <w:rsid w:val="003F1F08"/>
    <w:rsid w:val="00415806"/>
    <w:rsid w:val="00490EFB"/>
    <w:rsid w:val="00557567"/>
    <w:rsid w:val="005F00DD"/>
    <w:rsid w:val="006208EB"/>
    <w:rsid w:val="00753DC1"/>
    <w:rsid w:val="007F2AF7"/>
    <w:rsid w:val="008921AD"/>
    <w:rsid w:val="00944F7C"/>
    <w:rsid w:val="00983E13"/>
    <w:rsid w:val="00A765B3"/>
    <w:rsid w:val="00AB6029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433A8"/>
    <w:rsid w:val="00DC25B6"/>
    <w:rsid w:val="00DE6E1D"/>
    <w:rsid w:val="00E635AE"/>
    <w:rsid w:val="00E748D0"/>
    <w:rsid w:val="00EB5649"/>
    <w:rsid w:val="00EE51C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77664"/>
        <c:axId val="84179584"/>
      </c:lineChart>
      <c:catAx>
        <c:axId val="84177664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417958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4179584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4177664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2022-02-10T10:40:00Z</cp:lastPrinted>
  <dcterms:created xsi:type="dcterms:W3CDTF">2022-11-09T12:32:00Z</dcterms:created>
  <dcterms:modified xsi:type="dcterms:W3CDTF">2022-11-09T12:35:00Z</dcterms:modified>
</cp:coreProperties>
</file>